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6305"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x-none"/>
        </w:rPr>
      </w:pPr>
      <w:bookmarkStart w:id="0" w:name="_GoBack"/>
      <w:bookmarkEnd w:id="0"/>
      <w:r>
        <w:rPr>
          <w:rFonts w:ascii="Sylfaen" w:eastAsia="Times New Roman" w:hAnsi="Sylfaen" w:cs="Sylfaen"/>
          <w:b/>
          <w:bCs/>
          <w:noProof/>
          <w:sz w:val="32"/>
          <w:szCs w:val="32"/>
          <w:lang w:val="en-US" w:eastAsia="x-none"/>
        </w:rPr>
        <w:t>Decree of the Government of Georgia</w:t>
      </w:r>
    </w:p>
    <w:p w14:paraId="4FF8820B"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x-none"/>
        </w:rPr>
      </w:pPr>
      <w:r>
        <w:rPr>
          <w:rFonts w:ascii="Sylfaen" w:eastAsia="Times New Roman" w:hAnsi="Sylfaen" w:cs="Sylfaen"/>
          <w:b/>
          <w:bCs/>
          <w:noProof/>
          <w:sz w:val="32"/>
          <w:szCs w:val="32"/>
          <w:lang w:val="en-US" w:eastAsia="x-none"/>
        </w:rPr>
        <w:t xml:space="preserve"># 349 (16/11/2010, Tbilisi) </w:t>
      </w:r>
    </w:p>
    <w:p w14:paraId="0BA1C7ED"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x-none"/>
        </w:rPr>
      </w:pPr>
    </w:p>
    <w:p w14:paraId="587F8019"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val="en-US" w:eastAsia="x-none"/>
        </w:rPr>
        <w:t xml:space="preserve">Regarding recognition of the list of International, Regional and National GMP standards, adoption and implementation of National GMP standard for pharmaceuticals </w:t>
      </w:r>
      <w:r>
        <w:rPr>
          <w:rFonts w:ascii="Sylfaen" w:eastAsia="Times New Roman" w:hAnsi="Sylfaen" w:cs="Sylfaen"/>
          <w:bCs/>
          <w:i/>
          <w:noProof/>
          <w:sz w:val="20"/>
          <w:szCs w:val="20"/>
          <w:lang w:val="en-US" w:eastAsia="x-none"/>
        </w:rPr>
        <w:t>(amendment # 580 28.12.2017, shall enter into force 31/12/2017)</w:t>
      </w:r>
    </w:p>
    <w:p w14:paraId="2E623758"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both"/>
        <w:rPr>
          <w:rFonts w:ascii="Sylfaen" w:hAnsi="Sylfaen" w:cs="Sylfaen"/>
          <w:noProof/>
          <w:lang w:eastAsia="x-none"/>
        </w:rPr>
      </w:pPr>
    </w:p>
    <w:p w14:paraId="08F1F2E7"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hAnsi="Sylfaen" w:cs="Sylfaen"/>
          <w:b/>
          <w:bCs/>
          <w:noProof/>
          <w:sz w:val="30"/>
          <w:szCs w:val="30"/>
          <w:lang w:val="en-US" w:eastAsia="x-none"/>
        </w:rPr>
        <w:t xml:space="preserve">Article 1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14:paraId="450049C8"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30"/>
          <w:szCs w:val="30"/>
          <w:lang w:val="en-US" w:eastAsia="x-none"/>
        </w:rPr>
      </w:pPr>
    </w:p>
    <w:p w14:paraId="371B4A89"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accordance with the provisions laid down in Article 12, paragraphs 4 and 8 of the Law on Medicines of Georgia, the following is determined: </w:t>
      </w:r>
    </w:p>
    <w:p w14:paraId="2D072B2F" w14:textId="77777777" w:rsidR="00402979" w:rsidRDefault="00402979" w:rsidP="0040297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list of International, Regional and National GMP standards which are being recognized until the full implementation of the National GMP standard for pharmaceuticals (annex 1); </w:t>
      </w:r>
    </w:p>
    <w:p w14:paraId="07107382" w14:textId="77777777" w:rsidR="00402979" w:rsidRDefault="00402979" w:rsidP="0040297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National GMP standard for pharmaceuticals and timelines for the stepwise implementation on a risk-based approach (annex 2).   </w:t>
      </w:r>
    </w:p>
    <w:p w14:paraId="1D2BF601"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x-none"/>
        </w:rPr>
      </w:pPr>
    </w:p>
    <w:p w14:paraId="3A894B8C"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hAnsi="Sylfaen" w:cs="Sylfaen"/>
          <w:b/>
          <w:bCs/>
          <w:noProof/>
          <w:sz w:val="30"/>
          <w:szCs w:val="30"/>
          <w:lang w:val="en-US" w:eastAsia="x-none"/>
        </w:rPr>
        <w:t>Article 1</w:t>
      </w:r>
      <w:r>
        <w:rPr>
          <w:rFonts w:ascii="Sylfaen" w:hAnsi="Sylfaen" w:cs="Sylfaen"/>
          <w:b/>
          <w:bCs/>
          <w:noProof/>
          <w:sz w:val="30"/>
          <w:szCs w:val="30"/>
          <w:vertAlign w:val="superscript"/>
          <w:lang w:val="en-US" w:eastAsia="x-none"/>
        </w:rPr>
        <w:t>1</w:t>
      </w:r>
      <w:r>
        <w:rPr>
          <w:rFonts w:ascii="Sylfaen" w:hAnsi="Sylfaen" w:cs="Sylfaen"/>
          <w:b/>
          <w:bCs/>
          <w:noProof/>
          <w:sz w:val="30"/>
          <w:szCs w:val="30"/>
          <w:lang w:val="en-US"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14:paraId="402402C4"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p>
    <w:p w14:paraId="408AE8ED"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Prior to the full implementation of the National GMP Standard for pharmaceuticals, the Regulatory Body is obliged to accept application for marketing authorization accompanied by the certificate of compliance to any GMP standard recognized under paragraph (a) of article 1  (annex 1)  issued by the appropriate competent authority. </w:t>
      </w:r>
    </w:p>
    <w:p w14:paraId="2C16B021"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hAnsi="Sylfaen" w:cs="Sylfaen"/>
          <w:b/>
          <w:bCs/>
          <w:noProof/>
          <w:sz w:val="30"/>
          <w:szCs w:val="30"/>
          <w:lang w:val="en-US" w:eastAsia="x-none"/>
        </w:rPr>
        <w:t>Article 1</w:t>
      </w:r>
      <w:r>
        <w:rPr>
          <w:rFonts w:ascii="Sylfaen" w:hAnsi="Sylfaen" w:cs="Sylfaen"/>
          <w:b/>
          <w:bCs/>
          <w:noProof/>
          <w:sz w:val="30"/>
          <w:szCs w:val="30"/>
          <w:vertAlign w:val="superscript"/>
          <w:lang w:val="en-US" w:eastAsia="x-none"/>
        </w:rPr>
        <w:t>2</w:t>
      </w:r>
      <w:r>
        <w:rPr>
          <w:rFonts w:ascii="Sylfaen" w:hAnsi="Sylfaen" w:cs="Sylfaen"/>
          <w:b/>
          <w:bCs/>
          <w:noProof/>
          <w:sz w:val="30"/>
          <w:szCs w:val="30"/>
          <w:lang w:val="en-US"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14:paraId="7D6FA845"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timelines determined for the implementation of National GMP standard for pharmaceuticals, the manufacturing of pharmaceutical products should comply with the requirements of adopted GMP standard.  </w:t>
      </w:r>
    </w:p>
    <w:p w14:paraId="3F974771"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hAnsi="Times New Roman" w:cs="Times New Roman"/>
          <w:sz w:val="24"/>
          <w:szCs w:val="24"/>
          <w:lang w:val="en-US"/>
        </w:rPr>
      </w:pPr>
    </w:p>
    <w:p w14:paraId="299C94F1"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ascii="Sylfaen" w:eastAsia="Times New Roman" w:hAnsi="Sylfaen" w:cs="Sylfaen"/>
          <w:bCs/>
          <w:noProof/>
          <w:sz w:val="20"/>
          <w:szCs w:val="20"/>
          <w:lang w:val="en-US" w:eastAsia="x-none"/>
        </w:rPr>
      </w:pPr>
      <w:r>
        <w:rPr>
          <w:rFonts w:ascii="Sylfaen" w:eastAsia="Times New Roman" w:hAnsi="Sylfaen" w:cs="Sylfaen"/>
          <w:b/>
          <w:bCs/>
          <w:noProof/>
          <w:sz w:val="24"/>
          <w:szCs w:val="24"/>
          <w:lang w:val="en-US" w:eastAsia="x-none"/>
        </w:rPr>
        <w:t xml:space="preserve">Article 2. Deleted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14:paraId="770AA1B0"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eastAsia="x-none"/>
        </w:rPr>
      </w:pPr>
    </w:p>
    <w:p w14:paraId="6DE9C95B"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en-US" w:eastAsia="x-none"/>
        </w:rPr>
      </w:pPr>
      <w:r>
        <w:rPr>
          <w:rFonts w:ascii="Sylfaen" w:eastAsia="Times New Roman" w:hAnsi="Sylfaen" w:cs="Sylfaen"/>
          <w:b/>
          <w:bCs/>
          <w:noProof/>
          <w:sz w:val="24"/>
          <w:szCs w:val="24"/>
          <w:lang w:val="en-US" w:eastAsia="x-none"/>
        </w:rPr>
        <w:t xml:space="preserve">Article 3. </w:t>
      </w:r>
    </w:p>
    <w:p w14:paraId="3CDEA1F8"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val="en-US" w:eastAsia="x-none"/>
        </w:rPr>
        <w:t xml:space="preserve">Article  </w:t>
      </w:r>
      <w:r>
        <w:rPr>
          <w:rFonts w:ascii="Sylfaen" w:eastAsia="Times New Roman" w:hAnsi="Sylfaen" w:cs="Sylfaen"/>
          <w:b/>
          <w:bCs/>
          <w:noProof/>
          <w:sz w:val="24"/>
          <w:szCs w:val="24"/>
          <w:lang w:eastAsia="x-none"/>
        </w:rPr>
        <w:t>3.</w:t>
      </w:r>
      <w:r>
        <w:rPr>
          <w:rFonts w:ascii="Sylfaen" w:hAnsi="Sylfaen" w:cs="Sylfaen"/>
          <w:noProof/>
          <w:sz w:val="24"/>
          <w:szCs w:val="24"/>
          <w:lang w:eastAsia="x-none"/>
        </w:rPr>
        <w:t xml:space="preserve"> </w:t>
      </w:r>
      <w:r>
        <w:rPr>
          <w:rFonts w:ascii="Sylfaen" w:hAnsi="Sylfaen" w:cs="Sylfaen"/>
          <w:noProof/>
          <w:sz w:val="24"/>
          <w:szCs w:val="24"/>
          <w:lang w:val="en-US" w:eastAsia="x-none"/>
        </w:rPr>
        <w:t xml:space="preserve"> </w:t>
      </w:r>
      <w:r>
        <w:rPr>
          <w:rFonts w:ascii="Times New Roman" w:hAnsi="Times New Roman" w:cs="Times New Roman"/>
          <w:sz w:val="24"/>
          <w:szCs w:val="24"/>
          <w:lang w:val="en-US"/>
        </w:rPr>
        <w:t xml:space="preserve">The decree shall enter into force upon signature. </w:t>
      </w:r>
    </w:p>
    <w:p w14:paraId="43F86EF3" w14:textId="77777777"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noProof/>
          <w:sz w:val="24"/>
          <w:szCs w:val="24"/>
          <w:lang w:val="en-US" w:eastAsia="x-none"/>
        </w:rPr>
      </w:pPr>
      <w:r>
        <w:rPr>
          <w:rFonts w:ascii="Sylfaen" w:eastAsia="Times New Roman" w:hAnsi="Sylfaen" w:cs="Sylfaen"/>
          <w:noProof/>
          <w:sz w:val="24"/>
          <w:szCs w:val="24"/>
          <w:lang w:val="en-US" w:eastAsia="x-none"/>
        </w:rPr>
        <w:t xml:space="preserve"> </w:t>
      </w:r>
    </w:p>
    <w:p w14:paraId="2CC54189" w14:textId="77777777"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noProof/>
          <w:sz w:val="24"/>
          <w:szCs w:val="24"/>
          <w:lang w:val="en-US" w:eastAsia="x-none"/>
        </w:rPr>
      </w:pPr>
      <w:r>
        <w:rPr>
          <w:rFonts w:ascii="Sylfaen" w:eastAsia="Times New Roman" w:hAnsi="Sylfaen" w:cs="Sylfaen"/>
          <w:noProof/>
          <w:sz w:val="24"/>
          <w:szCs w:val="24"/>
          <w:lang w:eastAsia="x-none"/>
        </w:rPr>
        <w:tab/>
        <w:t xml:space="preserve">   </w:t>
      </w:r>
      <w:r>
        <w:rPr>
          <w:rFonts w:ascii="Sylfaen" w:eastAsia="Times New Roman" w:hAnsi="Sylfaen" w:cs="Sylfaen"/>
          <w:b/>
          <w:bCs/>
          <w:noProof/>
          <w:sz w:val="24"/>
          <w:szCs w:val="24"/>
          <w:lang w:val="en-US" w:eastAsia="x-none"/>
        </w:rPr>
        <w:t>Prime Minister                                            Nika Gilauri</w:t>
      </w:r>
    </w:p>
    <w:p w14:paraId="266FF5C5" w14:textId="77777777"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r>
        <w:rPr>
          <w:rFonts w:ascii="Sylfaen" w:eastAsia="Times New Roman" w:hAnsi="Sylfaen" w:cs="Sylfaen"/>
          <w:b/>
          <w:bCs/>
          <w:noProof/>
          <w:sz w:val="24"/>
          <w:szCs w:val="24"/>
          <w:lang w:eastAsia="x-none"/>
        </w:rPr>
        <w:tab/>
        <w:t xml:space="preserve">                                  </w:t>
      </w:r>
    </w:p>
    <w:p w14:paraId="3034479B" w14:textId="77777777"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p>
    <w:p w14:paraId="60ABD242" w14:textId="77777777"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p>
    <w:p w14:paraId="3AAE1CB9" w14:textId="77777777"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eastAsia="Times New Roman" w:hAnsi="Sylfaen" w:cs="Sylfaen"/>
          <w:b/>
          <w:bCs/>
          <w:i/>
          <w:iCs/>
          <w:noProof/>
          <w:sz w:val="24"/>
          <w:szCs w:val="24"/>
          <w:lang w:val="en-US" w:eastAsia="x-none"/>
        </w:rPr>
      </w:pPr>
    </w:p>
    <w:p w14:paraId="4490AA84" w14:textId="77777777" w:rsidR="00402979" w:rsidRDefault="00402979" w:rsidP="00402979">
      <w:pPr>
        <w:tabs>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60" w:lineRule="atLeast"/>
        <w:ind w:left="440" w:right="179"/>
        <w:jc w:val="both"/>
        <w:rPr>
          <w:rFonts w:ascii="Sylfaen" w:hAnsi="Sylfaen" w:cs="Sylfaen"/>
          <w:b/>
          <w:bCs/>
          <w:noProof/>
          <w:sz w:val="24"/>
          <w:szCs w:val="24"/>
          <w:lang w:val="en-US" w:eastAsia="x-none"/>
        </w:rPr>
      </w:pPr>
    </w:p>
    <w:p w14:paraId="7CEA6477"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right"/>
        <w:rPr>
          <w:rFonts w:ascii="Sylfaen" w:hAnsi="Sylfaen" w:cs="Sylfaen"/>
          <w:noProof/>
          <w:sz w:val="24"/>
          <w:szCs w:val="24"/>
          <w:lang w:eastAsia="x-none"/>
        </w:rPr>
      </w:pPr>
    </w:p>
    <w:p w14:paraId="471D1341" w14:textId="77777777" w:rsidR="00402979" w:rsidRDefault="00402979" w:rsidP="00C837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noProof/>
          <w:sz w:val="24"/>
          <w:szCs w:val="24"/>
          <w:lang w:val="en-US" w:eastAsia="x-none"/>
        </w:rPr>
        <w:t>Annex 1</w:t>
      </w:r>
      <w:r>
        <w:rPr>
          <w:rFonts w:ascii="Sylfaen" w:eastAsia="Times New Roman" w:hAnsi="Sylfaen" w:cs="Sylfaen"/>
          <w:noProof/>
          <w:sz w:val="24"/>
          <w:szCs w:val="24"/>
          <w:lang w:val="en-US" w:eastAsia="x-none"/>
        </w:rPr>
        <w:t xml:space="preserve"> </w:t>
      </w:r>
      <w:r>
        <w:rPr>
          <w:rFonts w:ascii="Sylfaen" w:hAnsi="Sylfaen" w:cs="Sylfaen"/>
          <w:noProof/>
          <w:sz w:val="24"/>
          <w:szCs w:val="24"/>
          <w:lang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14:paraId="41787F5A"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46BA7843"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sz w:val="24"/>
          <w:szCs w:val="24"/>
          <w:lang w:val="en-US"/>
        </w:rPr>
      </w:pPr>
      <w:r>
        <w:rPr>
          <w:rFonts w:ascii="Times New Roman" w:hAnsi="Times New Roman" w:cs="Times New Roman"/>
          <w:b/>
          <w:sz w:val="24"/>
          <w:szCs w:val="24"/>
          <w:lang w:val="en-US"/>
        </w:rPr>
        <w:t>The list of International, Regional and National GMP standards</w:t>
      </w:r>
    </w:p>
    <w:p w14:paraId="7AA470A3"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sz w:val="24"/>
          <w:szCs w:val="24"/>
          <w:lang w:val="en-US" w:eastAsia="x-none"/>
        </w:rPr>
      </w:pPr>
      <w:r>
        <w:rPr>
          <w:rFonts w:ascii="Times New Roman" w:hAnsi="Times New Roman" w:cs="Times New Roman"/>
          <w:b/>
          <w:sz w:val="24"/>
          <w:szCs w:val="24"/>
          <w:lang w:val="en-US"/>
        </w:rPr>
        <w:t>recognized by Georgia</w:t>
      </w:r>
    </w:p>
    <w:p w14:paraId="1182164D"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x-none"/>
        </w:rPr>
      </w:pPr>
    </w:p>
    <w:p w14:paraId="469E4FD4" w14:textId="77777777" w:rsidR="00402979" w:rsidRDefault="00402979" w:rsidP="0040297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sz w:val="24"/>
          <w:szCs w:val="24"/>
          <w:lang w:val="en-US"/>
        </w:rPr>
      </w:pPr>
      <w:r>
        <w:rPr>
          <w:rFonts w:ascii="Times New Roman" w:hAnsi="Times New Roman" w:cs="Times New Roman"/>
          <w:iCs/>
          <w:sz w:val="24"/>
          <w:szCs w:val="24"/>
          <w:lang w:val="en-US"/>
        </w:rPr>
        <w:t>WHO Good Manufacturing Practices</w:t>
      </w:r>
      <w:r>
        <w:rPr>
          <w:rFonts w:ascii="Times New Roman" w:hAnsi="Times New Roman" w:cs="Times New Roman"/>
          <w:sz w:val="24"/>
          <w:szCs w:val="24"/>
          <w:lang w:val="en-US"/>
        </w:rPr>
        <w:t xml:space="preserve"> for Pharmaceutical Products.</w:t>
      </w:r>
    </w:p>
    <w:p w14:paraId="42695946" w14:textId="77777777" w:rsidR="00402979" w:rsidRDefault="00402979" w:rsidP="00402979">
      <w:pPr>
        <w:pStyle w:val="ListParagraph"/>
        <w:numPr>
          <w:ilvl w:val="0"/>
          <w:numId w:val="2"/>
        </w:numPr>
        <w:autoSpaceDE/>
        <w:adjustRightInd/>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Guidelines on GMP published by European Commission (EC GMP).</w:t>
      </w:r>
    </w:p>
    <w:p w14:paraId="5E92A36D" w14:textId="77777777" w:rsidR="00402979" w:rsidRDefault="00542E9E" w:rsidP="00402979">
      <w:pPr>
        <w:pStyle w:val="ListParagraph"/>
        <w:numPr>
          <w:ilvl w:val="0"/>
          <w:numId w:val="2"/>
        </w:numPr>
        <w:autoSpaceDE/>
        <w:adjustRightInd/>
        <w:spacing w:after="0" w:line="240" w:lineRule="auto"/>
        <w:rPr>
          <w:rFonts w:ascii="Times New Roman" w:hAnsi="Times New Roman" w:cs="Times New Roman"/>
          <w:iCs/>
          <w:sz w:val="24"/>
          <w:szCs w:val="24"/>
          <w:lang w:val="en-US"/>
        </w:rPr>
      </w:pPr>
      <w:r>
        <w:rPr>
          <w:rFonts w:ascii="Sylfaen" w:eastAsia="Times New Roman" w:hAnsi="Sylfaen" w:cs="Sylfaen"/>
          <w:noProof/>
          <w:sz w:val="24"/>
          <w:szCs w:val="24"/>
          <w:lang w:eastAsia="x-none"/>
        </w:rPr>
        <w:t>Food and Drug Administration</w:t>
      </w:r>
      <w:r>
        <w:rPr>
          <w:rFonts w:ascii="Sylfaen" w:eastAsia="Times New Roman" w:hAnsi="Sylfaen" w:cs="Sylfaen"/>
          <w:noProof/>
          <w:sz w:val="24"/>
          <w:szCs w:val="24"/>
          <w:lang w:val="en-US" w:eastAsia="x-none"/>
        </w:rPr>
        <w:t xml:space="preserve"> </w:t>
      </w:r>
      <w:r w:rsidR="00402979">
        <w:rPr>
          <w:rFonts w:ascii="Sylfaen" w:eastAsia="Times New Roman" w:hAnsi="Sylfaen" w:cs="Sylfaen"/>
          <w:noProof/>
          <w:sz w:val="24"/>
          <w:szCs w:val="24"/>
          <w:lang w:eastAsia="x-none"/>
        </w:rPr>
        <w:t xml:space="preserve">– </w:t>
      </w:r>
      <w:r w:rsidR="00402979">
        <w:rPr>
          <w:rFonts w:ascii="Sylfaen" w:eastAsia="Times New Roman" w:hAnsi="Sylfaen" w:cs="Sylfaen"/>
          <w:noProof/>
          <w:sz w:val="24"/>
          <w:szCs w:val="24"/>
          <w:lang w:val="en-US" w:eastAsia="x-none"/>
        </w:rPr>
        <w:t>cGMP for finished pharmaceuticals.</w:t>
      </w:r>
    </w:p>
    <w:p w14:paraId="3A947400" w14:textId="77777777" w:rsidR="00402979" w:rsidRDefault="00402979" w:rsidP="00402979">
      <w:pPr>
        <w:pStyle w:val="ListParagraph"/>
        <w:numPr>
          <w:ilvl w:val="0"/>
          <w:numId w:val="2"/>
        </w:numPr>
        <w:autoSpaceDE/>
        <w:adjustRightInd/>
        <w:spacing w:after="0" w:line="240" w:lineRule="auto"/>
        <w:rPr>
          <w:rFonts w:ascii="Times New Roman" w:hAnsi="Times New Roman" w:cs="Times New Roman"/>
          <w:iCs/>
          <w:sz w:val="24"/>
          <w:szCs w:val="24"/>
          <w:lang w:val="en-US"/>
        </w:rPr>
      </w:pPr>
      <w:r>
        <w:rPr>
          <w:rFonts w:ascii="Sylfaen" w:eastAsia="Times New Roman" w:hAnsi="Sylfaen" w:cs="Sylfaen"/>
          <w:noProof/>
          <w:sz w:val="24"/>
          <w:szCs w:val="24"/>
          <w:lang w:eastAsia="x-none"/>
        </w:rPr>
        <w:t>Pharmaceutical Inspection Co-operation Scheme – PIC/S GMP</w:t>
      </w:r>
      <w:r>
        <w:rPr>
          <w:rFonts w:ascii="Sylfaen" w:eastAsia="Times New Roman" w:hAnsi="Sylfaen" w:cs="Sylfaen"/>
          <w:noProof/>
          <w:sz w:val="24"/>
          <w:szCs w:val="24"/>
          <w:lang w:val="en-US" w:eastAsia="x-none"/>
        </w:rPr>
        <w:t xml:space="preserve"> guide.</w:t>
      </w:r>
    </w:p>
    <w:p w14:paraId="6C32F0F3"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14:paraId="79528905"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14:paraId="6E5F70A3" w14:textId="77777777" w:rsidR="00402979" w:rsidRDefault="00402979" w:rsidP="00C837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noProof/>
          <w:sz w:val="24"/>
          <w:szCs w:val="24"/>
          <w:lang w:val="en-US" w:eastAsia="x-none"/>
        </w:rPr>
        <w:t>Annex 2</w:t>
      </w:r>
      <w:r>
        <w:rPr>
          <w:rFonts w:ascii="Sylfaen" w:eastAsia="Times New Roman" w:hAnsi="Sylfaen" w:cs="Sylfaen"/>
          <w:noProof/>
          <w:sz w:val="24"/>
          <w:szCs w:val="24"/>
          <w:lang w:val="en-US" w:eastAsia="x-none"/>
        </w:rPr>
        <w:t xml:space="preserve"> </w:t>
      </w:r>
      <w:r>
        <w:rPr>
          <w:rFonts w:ascii="Sylfaen" w:hAnsi="Sylfaen" w:cs="Sylfaen"/>
          <w:noProof/>
          <w:sz w:val="24"/>
          <w:szCs w:val="24"/>
          <w:lang w:eastAsia="x-none"/>
        </w:rPr>
        <w:t xml:space="preserve"> </w:t>
      </w:r>
      <w:r>
        <w:rPr>
          <w:rFonts w:ascii="Sylfaen" w:hAnsi="Sylfaen" w:cs="Sylfaen"/>
          <w:bCs/>
          <w:noProof/>
          <w:sz w:val="20"/>
          <w:szCs w:val="20"/>
          <w:lang w:val="en-US" w:eastAsia="x-none"/>
        </w:rPr>
        <w:t>(</w:t>
      </w:r>
      <w:r>
        <w:rPr>
          <w:rFonts w:ascii="Sylfaen" w:eastAsia="Times New Roman" w:hAnsi="Sylfaen" w:cs="Sylfaen"/>
          <w:bCs/>
          <w:i/>
          <w:noProof/>
          <w:sz w:val="20"/>
          <w:szCs w:val="20"/>
          <w:lang w:val="en-US" w:eastAsia="x-none"/>
        </w:rPr>
        <w:t>amendment # 580 28.12.2017, shall enter into force 31/12/2017</w:t>
      </w:r>
      <w:r>
        <w:rPr>
          <w:rFonts w:ascii="Sylfaen" w:eastAsia="Times New Roman" w:hAnsi="Sylfaen" w:cs="Sylfaen"/>
          <w:bCs/>
          <w:noProof/>
          <w:sz w:val="20"/>
          <w:szCs w:val="20"/>
          <w:lang w:val="en-US" w:eastAsia="x-none"/>
        </w:rPr>
        <w:t>)</w:t>
      </w:r>
    </w:p>
    <w:p w14:paraId="5E7105BD"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sz w:val="24"/>
          <w:szCs w:val="24"/>
          <w:lang w:val="en-US"/>
        </w:rPr>
      </w:pPr>
    </w:p>
    <w:p w14:paraId="30F60C7C"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National GMP standard for pharmaceuticals and timelines for the stepwise implementation </w:t>
      </w:r>
    </w:p>
    <w:p w14:paraId="6A49CF4E" w14:textId="77777777" w:rsidR="00402979" w:rsidRDefault="00402979" w:rsidP="00402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imes New Roman" w:hAnsi="Times New Roman" w:cs="Times New Roman"/>
          <w:sz w:val="24"/>
          <w:szCs w:val="24"/>
          <w:lang w:val="en-US"/>
        </w:rPr>
      </w:pPr>
      <w:r>
        <w:rPr>
          <w:rFonts w:ascii="Times New Roman" w:hAnsi="Times New Roman" w:cs="Times New Roman"/>
          <w:b/>
          <w:sz w:val="24"/>
          <w:szCs w:val="24"/>
          <w:lang w:val="en-US"/>
        </w:rPr>
        <w:t>on a risk-based approach</w:t>
      </w:r>
    </w:p>
    <w:p w14:paraId="2CA2D082" w14:textId="77777777" w:rsidR="00402979" w:rsidRDefault="00402979" w:rsidP="00402979">
      <w:pPr>
        <w:pStyle w:val="Heading2"/>
        <w:numPr>
          <w:ilvl w:val="0"/>
          <w:numId w:val="3"/>
        </w:numPr>
        <w:jc w:val="both"/>
        <w:rPr>
          <w:b w:val="0"/>
          <w:sz w:val="24"/>
          <w:szCs w:val="24"/>
        </w:rPr>
      </w:pPr>
      <w:r>
        <w:rPr>
          <w:rFonts w:ascii="Sylfaen" w:hAnsi="Sylfaen" w:cs="Sylfaen"/>
          <w:b w:val="0"/>
          <w:noProof/>
          <w:sz w:val="24"/>
          <w:szCs w:val="24"/>
          <w:lang w:eastAsia="x-none"/>
        </w:rPr>
        <w:t>Guidelines for Good Manufacturing practices for medicinal products (Basic Requirements for Medicinal Products,</w:t>
      </w:r>
      <w:r>
        <w:rPr>
          <w:b w:val="0"/>
        </w:rPr>
        <w:t xml:space="preserve"> </w:t>
      </w:r>
      <w:r w:rsidRPr="00FD02B2">
        <w:rPr>
          <w:rFonts w:ascii="Sylfaen" w:hAnsi="Sylfaen" w:cs="Sylfaen"/>
          <w:b w:val="0"/>
          <w:noProof/>
          <w:sz w:val="24"/>
          <w:szCs w:val="24"/>
          <w:lang w:eastAsia="x-none"/>
        </w:rPr>
        <w:t>Basic requirements for active substances used as starting materials</w:t>
      </w:r>
      <w:r>
        <w:rPr>
          <w:rFonts w:ascii="Sylfaen" w:hAnsi="Sylfaen" w:cs="Sylfaen"/>
          <w:b w:val="0"/>
          <w:noProof/>
          <w:sz w:val="24"/>
          <w:szCs w:val="24"/>
          <w:lang w:eastAsia="x-none"/>
        </w:rPr>
        <w:t xml:space="preserve"> all annexes published up to date should be adopted as </w:t>
      </w:r>
      <w:r>
        <w:rPr>
          <w:b w:val="0"/>
          <w:sz w:val="24"/>
          <w:szCs w:val="24"/>
        </w:rPr>
        <w:t>National GMP standard for pharmaceuticals (amendments to existing guidelines, published new annexes become an integral part of the National standard).</w:t>
      </w:r>
    </w:p>
    <w:p w14:paraId="7D25D7A6" w14:textId="77777777" w:rsidR="00402979" w:rsidRDefault="00402979" w:rsidP="00402979">
      <w:pPr>
        <w:pStyle w:val="Heading2"/>
        <w:numPr>
          <w:ilvl w:val="0"/>
          <w:numId w:val="3"/>
        </w:numPr>
        <w:jc w:val="both"/>
        <w:rPr>
          <w:b w:val="0"/>
          <w:sz w:val="24"/>
          <w:szCs w:val="24"/>
        </w:rPr>
      </w:pPr>
      <w:r>
        <w:rPr>
          <w:b w:val="0"/>
          <w:sz w:val="24"/>
          <w:szCs w:val="24"/>
        </w:rPr>
        <w:t xml:space="preserve">Ministry of </w:t>
      </w:r>
      <w:proofErr w:type="spellStart"/>
      <w:r>
        <w:rPr>
          <w:b w:val="0"/>
          <w:sz w:val="24"/>
          <w:szCs w:val="24"/>
        </w:rPr>
        <w:t>Labour</w:t>
      </w:r>
      <w:proofErr w:type="spellEnd"/>
      <w:r>
        <w:rPr>
          <w:b w:val="0"/>
          <w:sz w:val="24"/>
          <w:szCs w:val="24"/>
        </w:rPr>
        <w:t xml:space="preserve">, Health and Social Affairs should ensure:  </w:t>
      </w:r>
    </w:p>
    <w:p w14:paraId="2FCF0600" w14:textId="77777777" w:rsidR="00402979" w:rsidRDefault="00402979" w:rsidP="00402979">
      <w:pPr>
        <w:pStyle w:val="Heading2"/>
        <w:numPr>
          <w:ilvl w:val="0"/>
          <w:numId w:val="4"/>
        </w:numPr>
        <w:jc w:val="both"/>
        <w:rPr>
          <w:b w:val="0"/>
          <w:sz w:val="24"/>
          <w:szCs w:val="24"/>
        </w:rPr>
      </w:pPr>
      <w:r>
        <w:rPr>
          <w:b w:val="0"/>
          <w:sz w:val="24"/>
          <w:szCs w:val="24"/>
        </w:rPr>
        <w:t>development and approval of strategic plan for implementation of National GMP standard;</w:t>
      </w:r>
    </w:p>
    <w:p w14:paraId="3425E9DE" w14:textId="77777777" w:rsidR="00402979" w:rsidRDefault="00402979" w:rsidP="00402979">
      <w:pPr>
        <w:pStyle w:val="Heading2"/>
        <w:numPr>
          <w:ilvl w:val="0"/>
          <w:numId w:val="4"/>
        </w:numPr>
        <w:jc w:val="both"/>
        <w:rPr>
          <w:b w:val="0"/>
          <w:sz w:val="24"/>
          <w:szCs w:val="24"/>
        </w:rPr>
      </w:pPr>
      <w:r>
        <w:rPr>
          <w:b w:val="0"/>
          <w:sz w:val="24"/>
          <w:szCs w:val="24"/>
        </w:rPr>
        <w:t>establishment of National GMP Inspectorate before 1</w:t>
      </w:r>
      <w:r>
        <w:rPr>
          <w:b w:val="0"/>
          <w:sz w:val="24"/>
          <w:szCs w:val="24"/>
          <w:vertAlign w:val="superscript"/>
        </w:rPr>
        <w:t>st</w:t>
      </w:r>
      <w:r>
        <w:rPr>
          <w:b w:val="0"/>
          <w:sz w:val="24"/>
          <w:szCs w:val="24"/>
        </w:rPr>
        <w:t xml:space="preserve"> July 2019. </w:t>
      </w:r>
    </w:p>
    <w:p w14:paraId="2D89C882" w14:textId="77777777" w:rsidR="00402979" w:rsidRDefault="00402979" w:rsidP="00402979">
      <w:pPr>
        <w:pStyle w:val="Heading2"/>
        <w:numPr>
          <w:ilvl w:val="0"/>
          <w:numId w:val="3"/>
        </w:numPr>
        <w:jc w:val="both"/>
        <w:rPr>
          <w:b w:val="0"/>
          <w:sz w:val="24"/>
          <w:szCs w:val="24"/>
        </w:rPr>
      </w:pPr>
      <w:r>
        <w:rPr>
          <w:b w:val="0"/>
          <w:sz w:val="24"/>
          <w:szCs w:val="24"/>
        </w:rPr>
        <w:t>After 1</w:t>
      </w:r>
      <w:r>
        <w:rPr>
          <w:b w:val="0"/>
          <w:sz w:val="24"/>
          <w:szCs w:val="24"/>
          <w:vertAlign w:val="superscript"/>
        </w:rPr>
        <w:t>st</w:t>
      </w:r>
      <w:r>
        <w:rPr>
          <w:b w:val="0"/>
          <w:sz w:val="24"/>
          <w:szCs w:val="24"/>
        </w:rPr>
        <w:t xml:space="preserve"> July 2019, Manufacturing Authorization for local manufacturing sites or Authorization for additional manufacturing operations, not covered by existing authorization should be granted only upon inspection and proved compliance with National GMP Standard. </w:t>
      </w:r>
    </w:p>
    <w:p w14:paraId="19DDFB6B" w14:textId="77777777" w:rsidR="00402979" w:rsidRDefault="00402979" w:rsidP="00402979">
      <w:pPr>
        <w:pStyle w:val="Heading2"/>
        <w:numPr>
          <w:ilvl w:val="0"/>
          <w:numId w:val="3"/>
        </w:numPr>
        <w:jc w:val="both"/>
        <w:rPr>
          <w:b w:val="0"/>
          <w:sz w:val="24"/>
          <w:szCs w:val="24"/>
        </w:rPr>
      </w:pPr>
      <w:r>
        <w:rPr>
          <w:b w:val="0"/>
          <w:sz w:val="24"/>
          <w:szCs w:val="24"/>
        </w:rPr>
        <w:t>After 1</w:t>
      </w:r>
      <w:r>
        <w:rPr>
          <w:b w:val="0"/>
          <w:sz w:val="24"/>
          <w:szCs w:val="24"/>
          <w:vertAlign w:val="superscript"/>
        </w:rPr>
        <w:t>st</w:t>
      </w:r>
      <w:r>
        <w:rPr>
          <w:b w:val="0"/>
          <w:sz w:val="24"/>
          <w:szCs w:val="24"/>
        </w:rPr>
        <w:t xml:space="preserve"> January 2022 holders of Manufacturing Authorization should ensure compliance with National GMP Standard.</w:t>
      </w:r>
    </w:p>
    <w:p w14:paraId="740309B1" w14:textId="77777777" w:rsidR="00402979" w:rsidRDefault="00402979" w:rsidP="00402979">
      <w:pPr>
        <w:pStyle w:val="Heading2"/>
        <w:numPr>
          <w:ilvl w:val="0"/>
          <w:numId w:val="3"/>
        </w:numPr>
        <w:jc w:val="both"/>
        <w:rPr>
          <w:b w:val="0"/>
          <w:sz w:val="24"/>
          <w:szCs w:val="24"/>
        </w:rPr>
      </w:pPr>
      <w:r>
        <w:rPr>
          <w:b w:val="0"/>
          <w:sz w:val="24"/>
          <w:szCs w:val="24"/>
        </w:rPr>
        <w:t>Since 1</w:t>
      </w:r>
      <w:r>
        <w:rPr>
          <w:b w:val="0"/>
          <w:sz w:val="24"/>
          <w:szCs w:val="24"/>
          <w:vertAlign w:val="superscript"/>
        </w:rPr>
        <w:t>st</w:t>
      </w:r>
      <w:r>
        <w:rPr>
          <w:b w:val="0"/>
          <w:sz w:val="24"/>
          <w:szCs w:val="24"/>
        </w:rPr>
        <w:t xml:space="preserve"> July 2019 (prior to the mandatory implementation deadlines), regulatory body responsible for granting Manufacturing Authorization, upon request and payment of appropriate fees by the </w:t>
      </w:r>
      <w:r w:rsidR="00542E9E">
        <w:rPr>
          <w:b w:val="0"/>
          <w:sz w:val="24"/>
          <w:szCs w:val="24"/>
        </w:rPr>
        <w:t>h</w:t>
      </w:r>
      <w:r>
        <w:rPr>
          <w:b w:val="0"/>
          <w:sz w:val="24"/>
          <w:szCs w:val="24"/>
        </w:rPr>
        <w:t xml:space="preserve">older of manufacturing authorization, has a right to inspect manufacturing site against National GMP Standard and issue GMP certificate in the case of positive outcome.  </w:t>
      </w:r>
    </w:p>
    <w:p w14:paraId="3397B2A1" w14:textId="77777777" w:rsidR="00906598" w:rsidRPr="00402979" w:rsidRDefault="00906598" w:rsidP="00402979">
      <w:pPr>
        <w:rPr>
          <w:lang w:val="en-US"/>
        </w:rPr>
      </w:pPr>
    </w:p>
    <w:sectPr w:rsidR="00906598" w:rsidRPr="00402979">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C3F1E" w14:textId="77777777" w:rsidR="00AC5726" w:rsidRDefault="00AC5726" w:rsidP="00E20F14">
      <w:pPr>
        <w:spacing w:after="0" w:line="240" w:lineRule="auto"/>
      </w:pPr>
      <w:r>
        <w:separator/>
      </w:r>
    </w:p>
  </w:endnote>
  <w:endnote w:type="continuationSeparator" w:id="0">
    <w:p w14:paraId="4E5C9DDE" w14:textId="77777777" w:rsidR="00AC5726" w:rsidRDefault="00AC5726" w:rsidP="00E2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B98F" w14:textId="77777777" w:rsidR="00E20F14" w:rsidRDefault="00E20F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Look w:val="0000" w:firstRow="0" w:lastRow="0" w:firstColumn="0" w:lastColumn="0" w:noHBand="0" w:noVBand="0"/>
    </w:tblPr>
    <w:tblGrid>
      <w:gridCol w:w="5090"/>
      <w:gridCol w:w="5090"/>
    </w:tblGrid>
    <w:tr w:rsidR="00E20F14" w14:paraId="797EBB73" w14:textId="77777777" w:rsidTr="00E20F14">
      <w:tc>
        <w:tcPr>
          <w:tcW w:w="5090" w:type="dxa"/>
          <w:shd w:val="clear" w:color="auto" w:fill="auto"/>
        </w:tcPr>
        <w:p w14:paraId="0C4BB624" w14:textId="77777777" w:rsidR="00E20F14" w:rsidRPr="00E20F14" w:rsidRDefault="00E20F14" w:rsidP="00E20F14">
          <w:pPr>
            <w:pStyle w:val="Footer"/>
            <w:spacing w:after="0" w:line="240" w:lineRule="auto"/>
            <w:rPr>
              <w:rFonts w:ascii="Sylfaen" w:hAnsi="Sylfaen"/>
              <w:noProof/>
              <w:sz w:val="16"/>
            </w:rPr>
          </w:pPr>
          <w:r w:rsidRPr="00E20F14">
            <w:rPr>
              <w:rFonts w:ascii="Sylfaen" w:hAnsi="Sylfaen"/>
              <w:noProof/>
              <w:sz w:val="16"/>
            </w:rPr>
            <w:t>16 ნოემბერი 2010  საქართველოს მთავრობა  დადგენილება N 349</w:t>
          </w:r>
        </w:p>
      </w:tc>
      <w:tc>
        <w:tcPr>
          <w:tcW w:w="5090" w:type="dxa"/>
          <w:shd w:val="clear" w:color="auto" w:fill="auto"/>
        </w:tcPr>
        <w:p w14:paraId="4F9746AA" w14:textId="77777777" w:rsidR="00E20F14" w:rsidRPr="00E20F14" w:rsidRDefault="00E20F14" w:rsidP="00E20F14">
          <w:pPr>
            <w:pStyle w:val="Footer"/>
            <w:spacing w:after="0" w:line="240" w:lineRule="auto"/>
            <w:jc w:val="right"/>
            <w:rPr>
              <w:rFonts w:ascii="Sylfaen" w:hAnsi="Sylfaen"/>
              <w:noProof/>
              <w:sz w:val="16"/>
            </w:rPr>
          </w:pPr>
          <w:r w:rsidRPr="00E20F14">
            <w:rPr>
              <w:rFonts w:ascii="Sylfaen" w:hAnsi="Sylfaen"/>
              <w:noProof/>
              <w:sz w:val="16"/>
            </w:rPr>
            <w:t xml:space="preserve"> [ ამოღებულია ბაზიდან  : 16 მარტი 2018 ]</w:t>
          </w:r>
        </w:p>
      </w:tc>
    </w:tr>
    <w:tr w:rsidR="00E20F14" w14:paraId="6B8FDAF6" w14:textId="77777777" w:rsidTr="00E20F14">
      <w:tc>
        <w:tcPr>
          <w:tcW w:w="5090" w:type="dxa"/>
          <w:shd w:val="clear" w:color="auto" w:fill="auto"/>
        </w:tcPr>
        <w:p w14:paraId="0DEA26DD" w14:textId="77777777" w:rsidR="00E20F14" w:rsidRDefault="00E20F14" w:rsidP="00E20F14">
          <w:pPr>
            <w:pStyle w:val="Footer"/>
            <w:spacing w:after="0" w:line="240" w:lineRule="auto"/>
          </w:pPr>
        </w:p>
      </w:tc>
      <w:tc>
        <w:tcPr>
          <w:tcW w:w="5090" w:type="dxa"/>
          <w:shd w:val="clear" w:color="auto" w:fill="auto"/>
        </w:tcPr>
        <w:p w14:paraId="6AE197F7" w14:textId="77777777" w:rsidR="00E20F14" w:rsidRPr="00E20F14" w:rsidRDefault="00E20F14" w:rsidP="00E20F14">
          <w:pPr>
            <w:pStyle w:val="Footer"/>
            <w:spacing w:after="0" w:line="240" w:lineRule="auto"/>
            <w:jc w:val="right"/>
            <w:rPr>
              <w:rFonts w:ascii="Sylfaen" w:hAnsi="Sylfaen"/>
              <w:noProof/>
              <w:sz w:val="16"/>
            </w:rPr>
          </w:pPr>
          <w:r w:rsidRPr="00E20F14">
            <w:rPr>
              <w:rFonts w:ascii="Sylfaen" w:hAnsi="Sylfaen"/>
              <w:noProof/>
              <w:sz w:val="16"/>
            </w:rPr>
            <w:t xml:space="preserve">კოდიფიცირებული </w:t>
          </w:r>
        </w:p>
      </w:tc>
    </w:tr>
  </w:tbl>
  <w:p w14:paraId="08CFEF81" w14:textId="77777777" w:rsidR="00E20F14" w:rsidRPr="00E20F14" w:rsidRDefault="00E20F14" w:rsidP="00E20F1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9013D" w14:textId="77777777" w:rsidR="00E20F14" w:rsidRDefault="00E20F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BC3C9" w14:textId="77777777" w:rsidR="00AC5726" w:rsidRDefault="00AC5726" w:rsidP="00E20F14">
      <w:pPr>
        <w:spacing w:after="0" w:line="240" w:lineRule="auto"/>
      </w:pPr>
      <w:r>
        <w:separator/>
      </w:r>
    </w:p>
  </w:footnote>
  <w:footnote w:type="continuationSeparator" w:id="0">
    <w:p w14:paraId="02E32E51" w14:textId="77777777" w:rsidR="00AC5726" w:rsidRDefault="00AC5726" w:rsidP="00E20F1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C02A1" w14:textId="77777777" w:rsidR="00E20F14" w:rsidRDefault="00E20F1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E20F14" w14:paraId="5E0FDA20" w14:textId="77777777" w:rsidTr="00E20F14">
      <w:tc>
        <w:tcPr>
          <w:tcW w:w="5090" w:type="dxa"/>
          <w:shd w:val="clear" w:color="auto" w:fill="auto"/>
        </w:tcPr>
        <w:p w14:paraId="595AA3AB" w14:textId="77777777" w:rsidR="00E20F14" w:rsidRDefault="00E20F14" w:rsidP="00E20F14">
          <w:pPr>
            <w:pStyle w:val="Header"/>
            <w:spacing w:after="0" w:line="240" w:lineRule="auto"/>
          </w:pPr>
          <w:r>
            <w:t>Codex R4</w:t>
          </w:r>
        </w:p>
      </w:tc>
      <w:tc>
        <w:tcPr>
          <w:tcW w:w="5090" w:type="dxa"/>
          <w:shd w:val="clear" w:color="auto" w:fill="auto"/>
        </w:tcPr>
        <w:p w14:paraId="0545B3D0" w14:textId="77777777" w:rsidR="00E20F14" w:rsidRDefault="00E20F14" w:rsidP="00E20F14">
          <w:pPr>
            <w:pStyle w:val="Header"/>
            <w:spacing w:after="0" w:line="240" w:lineRule="auto"/>
            <w:jc w:val="right"/>
          </w:pPr>
          <w:r>
            <w:fldChar w:fldCharType="begin"/>
          </w:r>
          <w:r>
            <w:instrText xml:space="preserve"> PAGE  \* MERGEFORMAT </w:instrText>
          </w:r>
          <w:r>
            <w:fldChar w:fldCharType="separate"/>
          </w:r>
          <w:r w:rsidR="002661C2">
            <w:rPr>
              <w:noProof/>
            </w:rPr>
            <w:t>2</w:t>
          </w:r>
          <w:r>
            <w:fldChar w:fldCharType="end"/>
          </w:r>
          <w:r>
            <w:t xml:space="preserve"> of </w:t>
          </w:r>
          <w:r w:rsidR="00AC5726">
            <w:fldChar w:fldCharType="begin"/>
          </w:r>
          <w:r w:rsidR="00AC5726">
            <w:instrText xml:space="preserve"> NUMPAGES  \* MERGEFORMAT </w:instrText>
          </w:r>
          <w:r w:rsidR="00AC5726">
            <w:fldChar w:fldCharType="separate"/>
          </w:r>
          <w:r w:rsidR="002661C2">
            <w:rPr>
              <w:noProof/>
            </w:rPr>
            <w:t>2</w:t>
          </w:r>
          <w:r w:rsidR="00AC5726">
            <w:rPr>
              <w:noProof/>
            </w:rPr>
            <w:fldChar w:fldCharType="end"/>
          </w:r>
        </w:p>
      </w:tc>
    </w:tr>
  </w:tbl>
  <w:p w14:paraId="212FD3DF" w14:textId="77777777" w:rsidR="00E20F14" w:rsidRPr="00E20F14" w:rsidRDefault="00E20F14" w:rsidP="00E20F1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7672C" w14:textId="77777777" w:rsidR="00E20F14" w:rsidRDefault="00E20F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23DE1"/>
    <w:multiLevelType w:val="hybridMultilevel"/>
    <w:tmpl w:val="C8642DB4"/>
    <w:lvl w:ilvl="0" w:tplc="F2A2D408">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264124"/>
    <w:multiLevelType w:val="hybridMultilevel"/>
    <w:tmpl w:val="68BA2A6A"/>
    <w:lvl w:ilvl="0" w:tplc="0D6E872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66E2161"/>
    <w:multiLevelType w:val="hybridMultilevel"/>
    <w:tmpl w:val="31A03BB6"/>
    <w:lvl w:ilvl="0" w:tplc="FF724686">
      <w:start w:val="1"/>
      <w:numFmt w:val="lowerLetter"/>
      <w:lvlText w:val="%1)"/>
      <w:lvlJc w:val="left"/>
      <w:pPr>
        <w:ind w:left="720" w:hanging="360"/>
      </w:pPr>
      <w:rPr>
        <w:rFonts w:ascii="Times New Roman" w:eastAsiaTheme="minorEastAsia" w:hAnsi="Times New Roman"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776D72"/>
    <w:multiLevelType w:val="hybridMultilevel"/>
    <w:tmpl w:val="3F7E430E"/>
    <w:lvl w:ilvl="0" w:tplc="39EEB626">
      <w:start w:val="1"/>
      <w:numFmt w:val="decimal"/>
      <w:lvlText w:val="%1."/>
      <w:lvlJc w:val="left"/>
      <w:pPr>
        <w:ind w:left="1080" w:hanging="360"/>
      </w:pPr>
      <w:rPr>
        <w:rFonts w:ascii="Sylfaen" w:hAnsi="Sylfaen" w:cs="Sylfae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14"/>
    <w:rsid w:val="002661C2"/>
    <w:rsid w:val="00402979"/>
    <w:rsid w:val="00542E9E"/>
    <w:rsid w:val="007C27FF"/>
    <w:rsid w:val="00906598"/>
    <w:rsid w:val="00AC5726"/>
    <w:rsid w:val="00B35004"/>
    <w:rsid w:val="00BF1C49"/>
    <w:rsid w:val="00C83789"/>
    <w:rsid w:val="00E20F14"/>
    <w:rsid w:val="00FD02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CF20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link w:val="Heading2Char"/>
    <w:uiPriority w:val="9"/>
    <w:semiHidden/>
    <w:unhideWhenUsed/>
    <w:qFormat/>
    <w:rsid w:val="00402979"/>
    <w:pPr>
      <w:autoSpaceDE/>
      <w:autoSpaceDN/>
      <w:adjustRightInd/>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20F14"/>
    <w:pPr>
      <w:tabs>
        <w:tab w:val="center" w:pos="4680"/>
        <w:tab w:val="right" w:pos="9360"/>
      </w:tabs>
    </w:pPr>
  </w:style>
  <w:style w:type="character" w:customStyle="1" w:styleId="HeaderChar">
    <w:name w:val="Header Char"/>
    <w:basedOn w:val="DefaultParagraphFont"/>
    <w:link w:val="Header"/>
    <w:uiPriority w:val="99"/>
    <w:rsid w:val="00E20F14"/>
    <w:rPr>
      <w:rFonts w:ascii="Calibri" w:hAnsi="Calibri" w:cs="Calibri"/>
      <w:lang w:val="x-none"/>
    </w:rPr>
  </w:style>
  <w:style w:type="paragraph" w:styleId="Footer">
    <w:name w:val="footer"/>
    <w:basedOn w:val="Normal"/>
    <w:link w:val="FooterChar"/>
    <w:uiPriority w:val="99"/>
    <w:unhideWhenUsed/>
    <w:rsid w:val="00E20F14"/>
    <w:pPr>
      <w:tabs>
        <w:tab w:val="center" w:pos="4680"/>
        <w:tab w:val="right" w:pos="9360"/>
      </w:tabs>
    </w:pPr>
  </w:style>
  <w:style w:type="character" w:customStyle="1" w:styleId="FooterChar">
    <w:name w:val="Footer Char"/>
    <w:basedOn w:val="DefaultParagraphFont"/>
    <w:link w:val="Footer"/>
    <w:uiPriority w:val="99"/>
    <w:rsid w:val="00E20F14"/>
    <w:rPr>
      <w:rFonts w:ascii="Calibri" w:hAnsi="Calibri" w:cs="Calibri"/>
      <w:lang w:val="x-none"/>
    </w:rPr>
  </w:style>
  <w:style w:type="character" w:customStyle="1" w:styleId="Heading2Char">
    <w:name w:val="Heading 2 Char"/>
    <w:basedOn w:val="DefaultParagraphFont"/>
    <w:link w:val="Heading2"/>
    <w:uiPriority w:val="9"/>
    <w:semiHidden/>
    <w:rsid w:val="00402979"/>
    <w:rPr>
      <w:rFonts w:ascii="Times New Roman" w:eastAsia="Times New Roman" w:hAnsi="Times New Roman" w:cs="Times New Roman"/>
      <w:b/>
      <w:bCs/>
      <w:sz w:val="36"/>
      <w:szCs w:val="36"/>
    </w:rPr>
  </w:style>
  <w:style w:type="paragraph" w:styleId="ListParagraph">
    <w:name w:val="List Paragraph"/>
    <w:basedOn w:val="Normal"/>
    <w:uiPriority w:val="34"/>
    <w:qFormat/>
    <w:rsid w:val="00402979"/>
    <w:pPr>
      <w:ind w:left="720"/>
      <w:contextualSpacing/>
    </w:pPr>
  </w:style>
  <w:style w:type="character" w:styleId="Hyperlink">
    <w:name w:val="Hyperlink"/>
    <w:basedOn w:val="DefaultParagraphFont"/>
    <w:uiPriority w:val="99"/>
    <w:semiHidden/>
    <w:unhideWhenUsed/>
    <w:rsid w:val="00402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Base>C:\1\dadg\</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Microsoft Office User</cp:lastModifiedBy>
  <cp:revision>2</cp:revision>
  <dcterms:created xsi:type="dcterms:W3CDTF">2018-03-17T17:09:00Z</dcterms:created>
  <dcterms:modified xsi:type="dcterms:W3CDTF">2018-03-17T17:09:00Z</dcterms:modified>
</cp:coreProperties>
</file>